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64" w:rsidRDefault="00645F64" w:rsidP="00645F64"/>
    <w:tbl>
      <w:tblPr>
        <w:tblW w:w="5606" w:type="pct"/>
        <w:tblCellSpacing w:w="0" w:type="dxa"/>
        <w:tblInd w:w="-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</w:tblGrid>
      <w:tr w:rsidR="00645F64" w:rsidRPr="00AD5515" w:rsidTr="0075202F">
        <w:trPr>
          <w:trHeight w:val="11125"/>
          <w:tblCellSpacing w:w="0" w:type="dxa"/>
        </w:trPr>
        <w:tc>
          <w:tcPr>
            <w:tcW w:w="5000" w:type="pct"/>
            <w:vAlign w:val="center"/>
            <w:hideMark/>
          </w:tcPr>
          <w:p w:rsidR="00645F64" w:rsidRPr="00AD5515" w:rsidRDefault="00645F64" w:rsidP="009807C6">
            <w:pPr>
              <w:spacing w:before="100" w:beforeAutospacing="1" w:after="100" w:afterAutospacing="1"/>
              <w:jc w:val="center"/>
              <w:rPr>
                <w:rFonts w:ascii="Perpetua" w:hAnsi="Perpetua"/>
                <w:bCs w:val="0"/>
                <w:color w:val="215868" w:themeColor="accent5" w:themeShade="80"/>
                <w:sz w:val="44"/>
                <w:szCs w:val="44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CALL FOR PAPERS</w:t>
            </w:r>
          </w:p>
          <w:p w:rsidR="00645F64" w:rsidRPr="00AD5515" w:rsidRDefault="00645F64" w:rsidP="009807C6">
            <w:pPr>
              <w:spacing w:before="100" w:beforeAutospacing="1" w:after="100" w:afterAutospacing="1"/>
              <w:jc w:val="center"/>
              <w:rPr>
                <w:rFonts w:ascii="Perpetua" w:hAnsi="Perpetua"/>
                <w:bCs w:val="0"/>
                <w:color w:val="215868" w:themeColor="accent5" w:themeShade="80"/>
                <w:sz w:val="44"/>
                <w:szCs w:val="44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The Enduring Challenge of Rousseau</w:t>
            </w:r>
            <w:r w:rsidR="00990134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’s Thought</w:t>
            </w: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 xml:space="preserve">  </w:t>
            </w:r>
          </w:p>
          <w:p w:rsidR="00645F64" w:rsidRPr="00AD5515" w:rsidRDefault="00645F64" w:rsidP="009807C6">
            <w:pPr>
              <w:jc w:val="center"/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 xml:space="preserve">Tercentenary Conference </w:t>
            </w:r>
          </w:p>
          <w:p w:rsidR="00350451" w:rsidRPr="00AD5515" w:rsidRDefault="00645F64" w:rsidP="00350451">
            <w:pPr>
              <w:jc w:val="center"/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 xml:space="preserve">Held by </w:t>
            </w:r>
            <w:r w:rsidR="00350451"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The Colorado College</w:t>
            </w:r>
            <w:r w:rsidR="00350451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 xml:space="preserve"> and</w:t>
            </w:r>
          </w:p>
          <w:p w:rsidR="00645F64" w:rsidRPr="00AD5515" w:rsidRDefault="00645F64" w:rsidP="0075202F">
            <w:pPr>
              <w:jc w:val="center"/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the Rousseau Association</w:t>
            </w:r>
            <w:r w:rsidR="00716E14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>/Association Rousseau</w:t>
            </w:r>
            <w:r w:rsidRPr="00AD5515">
              <w:rPr>
                <w:rFonts w:ascii="Perpetua" w:hAnsi="Perpetua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</w:p>
          <w:p w:rsidR="00645F64" w:rsidRPr="00AD5515" w:rsidRDefault="00645F64" w:rsidP="0075202F">
            <w:pPr>
              <w:jc w:val="center"/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>Colorado Springs, Colorado, USA</w:t>
            </w:r>
          </w:p>
          <w:p w:rsidR="00645F64" w:rsidRDefault="00645F64" w:rsidP="0075202F">
            <w:pPr>
              <w:jc w:val="center"/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</w:pPr>
            <w:r w:rsidRPr="00AD5515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 xml:space="preserve">December </w:t>
            </w:r>
            <w:r w:rsidR="00C02F3A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>13</w:t>
            </w:r>
            <w:r w:rsidRPr="00AD5515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 xml:space="preserve"> – </w:t>
            </w:r>
            <w:r w:rsidR="00C02F3A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>15</w:t>
            </w:r>
            <w:r w:rsidRPr="00AD5515">
              <w:rPr>
                <w:rFonts w:ascii="Perpetua" w:hAnsi="Perpetua"/>
                <w:b/>
                <w:color w:val="215868" w:themeColor="accent5" w:themeShade="80"/>
                <w:sz w:val="28"/>
                <w:szCs w:val="28"/>
              </w:rPr>
              <w:t xml:space="preserve">, 2012 </w:t>
            </w:r>
          </w:p>
          <w:p w:rsidR="0075202F" w:rsidRPr="00AD5515" w:rsidRDefault="0075202F" w:rsidP="0075202F">
            <w:pPr>
              <w:jc w:val="center"/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</w:p>
          <w:p w:rsidR="00716E14" w:rsidRDefault="00154CF5" w:rsidP="00154CF5">
            <w:pPr>
              <w:ind w:firstLine="720"/>
              <w:jc w:val="both"/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In the year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2012, the 300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  <w:vertAlign w:val="superscript"/>
              </w:rPr>
              <w:t>th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anniversary of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his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birth and the 250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  <w:vertAlign w:val="superscript"/>
              </w:rPr>
              <w:t>th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anniversary of the publication of </w:t>
            </w:r>
            <w:r w:rsidRPr="00411D96">
              <w:rPr>
                <w:rFonts w:ascii="Perpetua" w:hAnsi="Perpetua"/>
                <w:bCs w:val="0"/>
                <w:i/>
                <w:color w:val="215868" w:themeColor="accent5" w:themeShade="80"/>
                <w:sz w:val="28"/>
                <w:szCs w:val="28"/>
              </w:rPr>
              <w:t>Emile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the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magnitud</w:t>
            </w:r>
            <w:r w:rsidR="009A47D2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e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of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Rou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sseau’s legacy </w:t>
            </w:r>
            <w:proofErr w:type="gramStart"/>
            <w:r w:rsidR="009A47D2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is</w:t>
            </w:r>
            <w:proofErr w:type="gramEnd"/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incontestable. While the depth and systematic character of Rousseau’s thought had been recognized almost immediately by such thinkers as Kant and Hegel, among others, there has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continued to be d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ebate, not over the extent of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his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influence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in many domains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but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rather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over the degree to which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his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legacy is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to be understood as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the result of </w:t>
            </w:r>
            <w:r w:rsidR="009A47D2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rhetorical genius and dazzling dilettantism, rather than of </w:t>
            </w:r>
            <w:r w:rsidR="00B40E9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meticulous art and </w:t>
            </w:r>
            <w:r w:rsidR="009A47D2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philosophic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r w:rsidR="00B40E9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rigor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. </w:t>
            </w:r>
          </w:p>
          <w:p w:rsidR="00716E14" w:rsidRDefault="00154CF5" w:rsidP="00154CF5">
            <w:pPr>
              <w:ind w:firstLine="720"/>
              <w:jc w:val="both"/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The object of this confere</w:t>
            </w:r>
            <w:r w:rsidR="00C1515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nce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is to b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ring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renewed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attention to Rousseau’s genuine and yet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at times still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undervalued stature as a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sci</w:t>
            </w:r>
            <w:r w:rsidR="009A47D2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entist, philosopher, and artist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. We hope that the work presented at this conference will serve to showcase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how very deeply and subtly Rousseau thought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to explore some 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of the complex problems that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he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treats so radically and profoundly,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to</w:t>
            </w:r>
            <w:r w:rsidRPr="00411D9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bring to life the vigorous debates in which he is engaged with his most thoughtful contemporaries and predecessors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and to demonstrate the subtlety and depth of discipline that </w:t>
            </w:r>
            <w:r w:rsidR="00C02F3A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he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brought to his many endeavors. </w:t>
            </w:r>
          </w:p>
          <w:p w:rsidR="00154CF5" w:rsidRDefault="00154CF5" w:rsidP="00154CF5">
            <w:pPr>
              <w:ind w:firstLine="720"/>
              <w:jc w:val="both"/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</w:pP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In accord with the spirit and past practice of the Rousseau As</w:t>
            </w:r>
            <w:r w:rsidR="00716E1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sociation</w:t>
            </w:r>
            <w:r w:rsidR="0063039C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/Association Rousseau</w:t>
            </w:r>
            <w:r w:rsidR="00716E1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submissions are </w:t>
            </w: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welco</w:t>
            </w:r>
            <w:r w:rsidR="0063039C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me in a wide va</w:t>
            </w:r>
            <w:r w:rsidR="00D145ED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riety of fields</w:t>
            </w:r>
            <w:r w:rsidR="0063039C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11D96"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>including</w:t>
            </w:r>
            <w:r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 xml:space="preserve">, but not limited to, </w:t>
            </w:r>
            <w:r w:rsidRPr="00411D96"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 xml:space="preserve">political philosophy, philosophy, music, history, the history of ideas, eighteenth-century studies, </w:t>
            </w:r>
            <w:proofErr w:type="gramStart"/>
            <w:r w:rsidRPr="00411D96"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>history</w:t>
            </w:r>
            <w:proofErr w:type="gramEnd"/>
            <w:r w:rsidRPr="00411D96"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 xml:space="preserve"> of science, literature, and religious studies.</w:t>
            </w:r>
            <w:r>
              <w:rPr>
                <w:rFonts w:ascii="Perpetua" w:hAnsi="Perpetua"/>
                <w:color w:val="215868" w:themeColor="accent5" w:themeShade="80"/>
                <w:sz w:val="28"/>
                <w:szCs w:val="28"/>
              </w:rPr>
              <w:t xml:space="preserve"> </w:t>
            </w:r>
          </w:p>
          <w:p w:rsidR="00645F64" w:rsidRPr="00645F64" w:rsidRDefault="00EA25A3" w:rsidP="0075202F">
            <w:pP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           </w:t>
            </w:r>
            <w:r w:rsidR="00154CF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Proposals (title and short summary)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in English or </w:t>
            </w:r>
            <w:r w:rsidR="00645F64" w:rsidRPr="00350451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French, for papers </w:t>
            </w:r>
            <w:r w:rsidR="00350451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(to be presented orally in 15-20 minutes) should</w:t>
            </w:r>
            <w:r w:rsidR="00645F64" w:rsidRPr="00350451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be sent to the Conference Organizer, Eve Grace, preferably by email at </w:t>
            </w:r>
            <w:hyperlink r:id="rId5" w:history="1">
              <w:r w:rsidR="00645F64" w:rsidRPr="00350451">
                <w:rPr>
                  <w:rStyle w:val="Hyperlink"/>
                  <w:rFonts w:ascii="Perpetua" w:hAnsi="Perpetua"/>
                  <w:bCs w:val="0"/>
                  <w:color w:val="215868" w:themeColor="accent5" w:themeShade="80"/>
                  <w:sz w:val="28"/>
                  <w:szCs w:val="28"/>
                </w:rPr>
                <w:t>egrace@coloradocollege.edu</w:t>
              </w:r>
            </w:hyperlink>
            <w:r w:rsidR="00645F64" w:rsidRPr="00350451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, </w:t>
            </w:r>
            <w:r w:rsidR="00C1515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or by fax at 719-389-6586,</w:t>
            </w:r>
            <w:r w:rsidR="00645F64" w:rsidRPr="00350451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or</w:t>
            </w:r>
            <w:r w:rsidR="00C15156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by mail 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to: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Eve Grace, Political Science Department, Colorado College, </w:t>
            </w:r>
            <w:proofErr w:type="gramStart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14</w:t>
            </w:r>
            <w:proofErr w:type="gramEnd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East Cache la Poudre, </w:t>
            </w:r>
            <w:r w:rsidR="00645F64" w:rsidRP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Colorado Springs, CO 80903 USA</w:t>
            </w:r>
            <w:r w:rsidR="0075202F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.</w:t>
            </w:r>
          </w:p>
          <w:p w:rsidR="00645F64" w:rsidRPr="00AD5515" w:rsidRDefault="00EA25A3" w:rsidP="0075202F">
            <w:pP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</w:pPr>
            <w:r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          </w:t>
            </w:r>
            <w:r w:rsidR="00645F64" w:rsidRP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The </w:t>
            </w:r>
            <w:r w:rsidR="00645F64" w:rsidRPr="00B40E9A">
              <w:rPr>
                <w:rFonts w:ascii="Perpetua" w:hAnsi="Perpetua"/>
                <w:b/>
                <w:bCs w:val="0"/>
                <w:color w:val="215868" w:themeColor="accent5" w:themeShade="80"/>
                <w:sz w:val="28"/>
                <w:szCs w:val="28"/>
              </w:rPr>
              <w:t>deadline</w:t>
            </w:r>
            <w:r w:rsidR="00645F64" w:rsidRP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for receipt of proposals is </w:t>
            </w:r>
            <w:r w:rsidR="00645F64" w:rsidRPr="00B40E9A">
              <w:rPr>
                <w:rFonts w:ascii="Perpetua" w:hAnsi="Perpetua"/>
                <w:b/>
                <w:bCs w:val="0"/>
                <w:color w:val="215868" w:themeColor="accent5" w:themeShade="80"/>
                <w:sz w:val="28"/>
                <w:szCs w:val="28"/>
              </w:rPr>
              <w:t>May 15, 2012</w:t>
            </w:r>
            <w:r w:rsidR="00645F64" w:rsidRP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. Proposals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will be reviewed by the S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teering Committee 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(Professors 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Eve Grace, Christopher Kelly, </w:t>
            </w:r>
            <w:proofErr w:type="spellStart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Ourida</w:t>
            </w:r>
            <w:proofErr w:type="spellEnd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Mostefai</w:t>
            </w:r>
            <w:proofErr w:type="spellEnd"/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, and John Scott),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 and a decision 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will be 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communicated by 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June 15th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 xml:space="preserve">. A preliminary program for the conference will be available in </w:t>
            </w:r>
            <w:r w:rsidR="00645F64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September 2012</w:t>
            </w:r>
            <w:r w:rsidR="00645F64" w:rsidRPr="00AD5515">
              <w:rPr>
                <w:rFonts w:ascii="Perpetua" w:hAnsi="Perpetua"/>
                <w:bCs w:val="0"/>
                <w:color w:val="215868" w:themeColor="accent5" w:themeShade="80"/>
                <w:sz w:val="28"/>
                <w:szCs w:val="28"/>
              </w:rPr>
              <w:t>.</w:t>
            </w:r>
          </w:p>
          <w:p w:rsidR="00645F64" w:rsidRPr="00AD5515" w:rsidRDefault="00645F64" w:rsidP="009807C6">
            <w:pPr>
              <w:spacing w:before="100" w:beforeAutospacing="1" w:after="100" w:afterAutospacing="1"/>
              <w:rPr>
                <w:bCs w:val="0"/>
                <w:color w:val="215868" w:themeColor="accent5" w:themeShade="80"/>
              </w:rPr>
            </w:pPr>
            <w:bookmarkStart w:id="0" w:name="_ftn1"/>
            <w:bookmarkStart w:id="1" w:name="_GoBack"/>
            <w:bookmarkEnd w:id="0"/>
            <w:bookmarkEnd w:id="1"/>
          </w:p>
        </w:tc>
      </w:tr>
    </w:tbl>
    <w:p w:rsidR="00645F64" w:rsidRDefault="00645F64" w:rsidP="00645F64"/>
    <w:p w:rsidR="002657F5" w:rsidRDefault="002657F5"/>
    <w:sectPr w:rsidR="00265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65"/>
    <w:rsid w:val="00154CF5"/>
    <w:rsid w:val="002657F5"/>
    <w:rsid w:val="00296435"/>
    <w:rsid w:val="00350451"/>
    <w:rsid w:val="003512F7"/>
    <w:rsid w:val="00475C8D"/>
    <w:rsid w:val="0063039C"/>
    <w:rsid w:val="00645F64"/>
    <w:rsid w:val="00692039"/>
    <w:rsid w:val="00716E14"/>
    <w:rsid w:val="00721165"/>
    <w:rsid w:val="0075202F"/>
    <w:rsid w:val="00812454"/>
    <w:rsid w:val="00990134"/>
    <w:rsid w:val="009A47D2"/>
    <w:rsid w:val="00A00767"/>
    <w:rsid w:val="00A81B9B"/>
    <w:rsid w:val="00AD5515"/>
    <w:rsid w:val="00B40E9A"/>
    <w:rsid w:val="00C02F3A"/>
    <w:rsid w:val="00C13206"/>
    <w:rsid w:val="00C15156"/>
    <w:rsid w:val="00D145ED"/>
    <w:rsid w:val="00DE6511"/>
    <w:rsid w:val="00E92D84"/>
    <w:rsid w:val="00EA25A3"/>
    <w:rsid w:val="00F20E85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85"/>
    <w:pPr>
      <w:spacing w:after="0" w:line="240" w:lineRule="auto"/>
    </w:pPr>
    <w:rPr>
      <w:rFonts w:eastAsia="Times New Roman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85"/>
    <w:pPr>
      <w:spacing w:after="0" w:line="240" w:lineRule="auto"/>
    </w:pPr>
    <w:rPr>
      <w:rFonts w:eastAsia="Times New Roman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race@colorado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Grace</dc:creator>
  <cp:lastModifiedBy>Eve Grace</cp:lastModifiedBy>
  <cp:revision>13</cp:revision>
  <dcterms:created xsi:type="dcterms:W3CDTF">2012-03-15T23:17:00Z</dcterms:created>
  <dcterms:modified xsi:type="dcterms:W3CDTF">2012-03-19T22:56:00Z</dcterms:modified>
</cp:coreProperties>
</file>